
<file path=[Content_Types].xml><?xml version="1.0" encoding="utf-8"?>
<Types xmlns="http://schemas.openxmlformats.org/package/2006/content-types">
  <Default Extension="tmp" ContentType="image/png"/>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D42D9" w14:textId="77777777" w:rsidR="00C166B4" w:rsidRPr="003F480B" w:rsidRDefault="001147F6" w:rsidP="00151B3E">
      <w:pPr>
        <w:pBdr>
          <w:bottom w:val="single" w:sz="4" w:space="9" w:color="auto"/>
        </w:pBdr>
        <w:ind w:right="98"/>
        <w:jc w:val="right"/>
        <w:rPr>
          <w:rFonts w:ascii="JuneBug" w:hAnsi="JuneBug"/>
          <w:b/>
          <w:sz w:val="44"/>
          <w:szCs w:val="44"/>
        </w:rPr>
      </w:pPr>
      <w:r w:rsidRPr="003F480B">
        <w:rPr>
          <w:rFonts w:ascii="JuneBug" w:hAnsi="JuneBug"/>
          <w:noProof/>
          <w:sz w:val="44"/>
          <w:szCs w:val="44"/>
        </w:rPr>
        <w:drawing>
          <wp:anchor distT="0" distB="0" distL="114300" distR="114300" simplePos="0" relativeHeight="251658240" behindDoc="1" locked="0" layoutInCell="1" allowOverlap="1" wp14:anchorId="30B03A62" wp14:editId="6CA50250">
            <wp:simplePos x="0" y="0"/>
            <wp:positionH relativeFrom="column">
              <wp:posOffset>-276225</wp:posOffset>
            </wp:positionH>
            <wp:positionV relativeFrom="paragraph">
              <wp:posOffset>-333375</wp:posOffset>
            </wp:positionV>
            <wp:extent cx="914400" cy="844550"/>
            <wp:effectExtent l="0" t="0" r="0" b="0"/>
            <wp:wrapTight wrapText="bothSides">
              <wp:wrapPolygon edited="0">
                <wp:start x="0" y="0"/>
                <wp:lineTo x="0" y="20950"/>
                <wp:lineTo x="21150" y="20950"/>
                <wp:lineTo x="21150" y="0"/>
                <wp:lineTo x="0" y="0"/>
              </wp:wrapPolygon>
            </wp:wrapTight>
            <wp:docPr id="2" name="Picture 2" descr="Millner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lner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6B4" w:rsidRPr="003F480B">
        <w:rPr>
          <w:rFonts w:ascii="JuneBug" w:hAnsi="JuneBug"/>
          <w:b/>
          <w:sz w:val="44"/>
          <w:szCs w:val="44"/>
        </w:rPr>
        <w:t>Millner Primary School</w:t>
      </w:r>
    </w:p>
    <w:p w14:paraId="5B1A74EB" w14:textId="77777777" w:rsidR="003F5E5B" w:rsidRPr="003F480B" w:rsidRDefault="007B640F" w:rsidP="00A22C60">
      <w:pPr>
        <w:ind w:right="98"/>
        <w:jc w:val="right"/>
        <w:rPr>
          <w:rFonts w:ascii="Albany" w:hAnsi="Albany"/>
          <w:b/>
        </w:rPr>
      </w:pPr>
      <w:r w:rsidRPr="003F480B">
        <w:rPr>
          <w:rFonts w:ascii="Albany" w:hAnsi="Albany"/>
          <w:b/>
        </w:rPr>
        <w:t xml:space="preserve">Sabine Road MILLNER NT 0810 </w:t>
      </w:r>
    </w:p>
    <w:p w14:paraId="21043F67" w14:textId="77777777" w:rsidR="00AC1CA6" w:rsidRPr="003F480B" w:rsidRDefault="00330282" w:rsidP="00395F13">
      <w:pPr>
        <w:ind w:right="98"/>
        <w:jc w:val="center"/>
        <w:rPr>
          <w:rFonts w:ascii="Bradley Hand ITC" w:hAnsi="Bradley Hand ITC"/>
          <w:b/>
          <w:color w:val="808080"/>
        </w:rPr>
      </w:pPr>
      <w:r w:rsidRPr="003F480B">
        <w:rPr>
          <w:rFonts w:ascii="Bradley Hand ITC" w:hAnsi="Bradley Hand ITC"/>
          <w:b/>
          <w:color w:val="808080"/>
        </w:rPr>
        <w:t>“</w:t>
      </w:r>
      <w:r w:rsidR="00B51295" w:rsidRPr="003F480B">
        <w:rPr>
          <w:rFonts w:ascii="Bradley Hand ITC" w:hAnsi="Bradley Hand ITC"/>
          <w:b/>
          <w:color w:val="808080"/>
        </w:rPr>
        <w:t xml:space="preserve">Achieving Together and </w:t>
      </w:r>
      <w:r w:rsidRPr="003F480B">
        <w:rPr>
          <w:rFonts w:ascii="Bradley Hand ITC" w:hAnsi="Bradley Hand ITC"/>
          <w:b/>
          <w:color w:val="808080"/>
        </w:rPr>
        <w:t>Building Respect”</w:t>
      </w:r>
    </w:p>
    <w:p w14:paraId="3B0118B4" w14:textId="77777777" w:rsidR="00AC1CA6" w:rsidRPr="003F480B" w:rsidRDefault="00AC1CA6" w:rsidP="00151B3E"/>
    <w:p w14:paraId="68E1113B" w14:textId="41995CAC" w:rsidR="00F24594" w:rsidRPr="003F480B" w:rsidRDefault="00C01053" w:rsidP="00C01053">
      <w:pPr>
        <w:jc w:val="center"/>
        <w:rPr>
          <w:sz w:val="36"/>
          <w:szCs w:val="44"/>
        </w:rPr>
      </w:pPr>
      <w:r w:rsidRPr="003F480B">
        <w:rPr>
          <w:sz w:val="36"/>
          <w:szCs w:val="44"/>
        </w:rPr>
        <w:t xml:space="preserve">Principal’s Report for School Council – </w:t>
      </w:r>
      <w:r w:rsidR="0077475B">
        <w:rPr>
          <w:sz w:val="36"/>
          <w:szCs w:val="44"/>
        </w:rPr>
        <w:t>September</w:t>
      </w:r>
      <w:r w:rsidR="0088321E" w:rsidRPr="003F480B">
        <w:rPr>
          <w:sz w:val="36"/>
          <w:szCs w:val="44"/>
        </w:rPr>
        <w:t>, 2016</w:t>
      </w:r>
    </w:p>
    <w:p w14:paraId="3EE1C29C" w14:textId="77777777" w:rsidR="002C64B6" w:rsidRPr="003F480B" w:rsidRDefault="002C64B6" w:rsidP="00C01053">
      <w:pPr>
        <w:jc w:val="center"/>
        <w:rPr>
          <w:sz w:val="36"/>
          <w:szCs w:val="44"/>
        </w:rPr>
      </w:pPr>
    </w:p>
    <w:p w14:paraId="4229E164" w14:textId="2A4E7E4B" w:rsidR="00A824F9" w:rsidRDefault="0077475B" w:rsidP="0018746B">
      <w:pPr>
        <w:rPr>
          <w:sz w:val="32"/>
          <w:szCs w:val="28"/>
        </w:rPr>
      </w:pPr>
      <w:r>
        <w:rPr>
          <w:sz w:val="32"/>
          <w:szCs w:val="28"/>
        </w:rPr>
        <w:t>Much activity and work has occurred since our last meeting in week four of this term.</w:t>
      </w:r>
    </w:p>
    <w:p w14:paraId="3B744FF0" w14:textId="54C5A9E1" w:rsidR="0077475B" w:rsidRDefault="0077475B" w:rsidP="0018746B">
      <w:pPr>
        <w:rPr>
          <w:sz w:val="32"/>
          <w:szCs w:val="28"/>
        </w:rPr>
      </w:pPr>
      <w:r>
        <w:rPr>
          <w:sz w:val="32"/>
          <w:szCs w:val="28"/>
        </w:rPr>
        <w:t xml:space="preserve">Teachers have had program meetings with me – a chance for teachers to share, discuss and receive feedback about their programs, as well as a chance for me to find out a little more detail about what, how and why teachers are teaching and students are learning. A big takeaway for me from these meetings with teachers was the obvious efforts that are being made by our team of teachers to implement some of the initiatives that we have identified as priorities or are talking about as being important for us as a school – </w:t>
      </w:r>
      <w:r w:rsidR="00D42F78">
        <w:rPr>
          <w:sz w:val="32"/>
          <w:szCs w:val="28"/>
        </w:rPr>
        <w:t>e.g.</w:t>
      </w:r>
      <w:r>
        <w:rPr>
          <w:sz w:val="32"/>
          <w:szCs w:val="28"/>
        </w:rPr>
        <w:t xml:space="preserve"> increasing use of data and evidence to inform decisions that we make about what and how students need to learn; use of strategies arising from our Visible Learning work [Learning Intentions, Success Criteria, student goal setting, feedback, etc.]; and working collaboratively with teaching colleagues.</w:t>
      </w:r>
    </w:p>
    <w:p w14:paraId="3DFB2D13" w14:textId="77777777" w:rsidR="0077475B" w:rsidRDefault="0077475B" w:rsidP="0018746B">
      <w:pPr>
        <w:rPr>
          <w:sz w:val="32"/>
          <w:szCs w:val="28"/>
        </w:rPr>
      </w:pPr>
    </w:p>
    <w:p w14:paraId="7361B68D" w14:textId="56B53C12" w:rsidR="0077475B" w:rsidRDefault="0077475B" w:rsidP="0018746B">
      <w:pPr>
        <w:rPr>
          <w:sz w:val="32"/>
          <w:szCs w:val="28"/>
        </w:rPr>
      </w:pPr>
      <w:r>
        <w:rPr>
          <w:sz w:val="32"/>
          <w:szCs w:val="28"/>
        </w:rPr>
        <w:t>As usual, sport has been dominant at Millner in term three! AFL offerings have been regular this term, with the weekly after school competition against other schools, the ‘Pink Power’ tournament for girls, as well as clinics run by AFL NT.</w:t>
      </w:r>
    </w:p>
    <w:p w14:paraId="3A151AE3" w14:textId="339A03C1" w:rsidR="0077475B" w:rsidRDefault="0077475B" w:rsidP="0018746B">
      <w:pPr>
        <w:rPr>
          <w:sz w:val="32"/>
          <w:szCs w:val="28"/>
        </w:rPr>
      </w:pPr>
      <w:r>
        <w:rPr>
          <w:sz w:val="32"/>
          <w:szCs w:val="28"/>
        </w:rPr>
        <w:t>Our participation in Jump Rope for Heart saw a whole-school focus on skipping for a few weeks, culminating in a nice whole-school ‘jump off’</w:t>
      </w:r>
      <w:r w:rsidR="00932BB7">
        <w:rPr>
          <w:sz w:val="32"/>
          <w:szCs w:val="28"/>
        </w:rPr>
        <w:t>. Unfortunately, there was one casualty of this program, with Ms Arratta injuring her knee whilst fearlessly attempting to model some skipping technique to her students!</w:t>
      </w:r>
    </w:p>
    <w:p w14:paraId="53064BE2" w14:textId="20DF1867" w:rsidR="00932BB7" w:rsidRDefault="00932BB7" w:rsidP="0018746B">
      <w:pPr>
        <w:rPr>
          <w:sz w:val="32"/>
          <w:szCs w:val="28"/>
        </w:rPr>
      </w:pPr>
      <w:r>
        <w:rPr>
          <w:sz w:val="32"/>
          <w:szCs w:val="28"/>
        </w:rPr>
        <w:t>Recently, several classes have also participated in some tennis lessons.</w:t>
      </w:r>
    </w:p>
    <w:p w14:paraId="368ED71C" w14:textId="77777777" w:rsidR="00932BB7" w:rsidRDefault="00932BB7" w:rsidP="0018746B">
      <w:pPr>
        <w:rPr>
          <w:sz w:val="32"/>
          <w:szCs w:val="28"/>
        </w:rPr>
      </w:pPr>
    </w:p>
    <w:p w14:paraId="29B7E8FB" w14:textId="10E31D09" w:rsidR="00932BB7" w:rsidRDefault="00932BB7" w:rsidP="0018746B">
      <w:pPr>
        <w:rPr>
          <w:sz w:val="32"/>
          <w:szCs w:val="28"/>
        </w:rPr>
      </w:pPr>
      <w:r>
        <w:rPr>
          <w:sz w:val="32"/>
          <w:szCs w:val="28"/>
        </w:rPr>
        <w:t>Our Preschool has held two ‘Open Weeks’ this term, looking to advertise to and provide information for parents of prospective pre-schoolers. Enrolments in Preschool continue to slowly but steadily trickle in, both for this semester and for next year.</w:t>
      </w:r>
    </w:p>
    <w:p w14:paraId="4DC4C5BF" w14:textId="77777777" w:rsidR="00932BB7" w:rsidRDefault="00932BB7" w:rsidP="0018746B">
      <w:pPr>
        <w:rPr>
          <w:sz w:val="32"/>
          <w:szCs w:val="28"/>
        </w:rPr>
      </w:pPr>
    </w:p>
    <w:p w14:paraId="73DDA447" w14:textId="4952C45E" w:rsidR="00932BB7" w:rsidRDefault="00932BB7" w:rsidP="0018746B">
      <w:pPr>
        <w:rPr>
          <w:sz w:val="32"/>
          <w:szCs w:val="28"/>
        </w:rPr>
      </w:pPr>
      <w:r>
        <w:rPr>
          <w:sz w:val="32"/>
          <w:szCs w:val="28"/>
        </w:rPr>
        <w:t xml:space="preserve">On Monday, September 5, we – along with the other schools in the ‘Nightcliff Education Network – had a pupil-free day. Having this day as a collective group of schools enabled teachers from each of the schools to get together and analyse student writing, working towards improved consistency of judgement about the relative quality of student writing. This session built upon similar activity from earlier in the year and also allowed teachers to strengthen some professional networks with colleagues in neighbouring schools, as well as share strategies regarding the teaching of writing. </w:t>
      </w:r>
    </w:p>
    <w:p w14:paraId="24CDDFD9" w14:textId="77777777" w:rsidR="00932BB7" w:rsidRDefault="00932BB7" w:rsidP="0018746B">
      <w:pPr>
        <w:rPr>
          <w:sz w:val="32"/>
          <w:szCs w:val="28"/>
        </w:rPr>
      </w:pPr>
      <w:r>
        <w:rPr>
          <w:sz w:val="32"/>
          <w:szCs w:val="28"/>
        </w:rPr>
        <w:t>Prior to the collaborative work with other schools, we had a productive morning here at Millner, where we focused upon identifying benchmarks for the various English and Maths assessments that we use through the school, positioning ourselves to be clearer about how students are achieving compared to the expected level for their year, as well as how well students are progressing compared to the expected level of progress from one year to the next.</w:t>
      </w:r>
    </w:p>
    <w:p w14:paraId="0C41700B" w14:textId="3D91F8B2" w:rsidR="00264761" w:rsidRDefault="00264761" w:rsidP="00D42F78">
      <w:pPr>
        <w:jc w:val="center"/>
        <w:rPr>
          <w:sz w:val="32"/>
          <w:szCs w:val="28"/>
        </w:rPr>
      </w:pPr>
      <w:r>
        <w:rPr>
          <w:noProof/>
          <w:sz w:val="32"/>
          <w:szCs w:val="28"/>
        </w:rPr>
        <w:drawing>
          <wp:inline distT="0" distB="0" distL="0" distR="0" wp14:anchorId="23FEAA45" wp14:editId="669E5F03">
            <wp:extent cx="6876000" cy="3859200"/>
            <wp:effectExtent l="19050" t="19050" r="20320" b="273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908ABB.tmp"/>
                    <pic:cNvPicPr/>
                  </pic:nvPicPr>
                  <pic:blipFill>
                    <a:blip r:embed="rId8">
                      <a:extLst>
                        <a:ext uri="{28A0092B-C50C-407E-A947-70E740481C1C}">
                          <a14:useLocalDpi xmlns:a14="http://schemas.microsoft.com/office/drawing/2010/main" val="0"/>
                        </a:ext>
                      </a:extLst>
                    </a:blip>
                    <a:stretch>
                      <a:fillRect/>
                    </a:stretch>
                  </pic:blipFill>
                  <pic:spPr>
                    <a:xfrm>
                      <a:off x="0" y="0"/>
                      <a:ext cx="6876000" cy="3859200"/>
                    </a:xfrm>
                    <a:prstGeom prst="rect">
                      <a:avLst/>
                    </a:prstGeom>
                    <a:ln w="3175">
                      <a:solidFill>
                        <a:schemeClr val="tx1"/>
                      </a:solidFill>
                    </a:ln>
                  </pic:spPr>
                </pic:pic>
              </a:graphicData>
            </a:graphic>
          </wp:inline>
        </w:drawing>
      </w:r>
    </w:p>
    <w:p w14:paraId="39422786" w14:textId="7F0934DE" w:rsidR="00264761" w:rsidRPr="00264761" w:rsidRDefault="00264761" w:rsidP="00D42F78">
      <w:pPr>
        <w:jc w:val="center"/>
        <w:rPr>
          <w:i/>
          <w:sz w:val="32"/>
          <w:szCs w:val="28"/>
        </w:rPr>
      </w:pPr>
      <w:r w:rsidRPr="00264761">
        <w:rPr>
          <w:i/>
          <w:sz w:val="32"/>
          <w:szCs w:val="28"/>
        </w:rPr>
        <w:t>An example of the two questions that we were endeavouring to be better-placed to answer.</w:t>
      </w:r>
    </w:p>
    <w:p w14:paraId="43563234" w14:textId="77777777" w:rsidR="00722395" w:rsidRDefault="00722395" w:rsidP="0018746B">
      <w:pPr>
        <w:rPr>
          <w:sz w:val="32"/>
          <w:szCs w:val="28"/>
        </w:rPr>
      </w:pPr>
      <w:r>
        <w:rPr>
          <w:sz w:val="32"/>
          <w:szCs w:val="28"/>
        </w:rPr>
        <w:t>Student-Led Conferences happened in week seven and it was fantastic to see many parents coming into classrooms and listening to their children talk about their learning. This term, we have ramped up our focus on student goal setting, so many students took the opportunity to talk to their parents about the learning goals that they are working towards. In a nice extension of the efforts that we have been making with the use of feedback, upper primary classes used the Student-Led Conference to get some feedback from parents regarding their views about how their child’s learning is going.</w:t>
      </w:r>
    </w:p>
    <w:p w14:paraId="53E21339" w14:textId="77777777" w:rsidR="00722395" w:rsidRDefault="00722395" w:rsidP="0018746B">
      <w:pPr>
        <w:rPr>
          <w:sz w:val="32"/>
          <w:szCs w:val="28"/>
        </w:rPr>
      </w:pPr>
    </w:p>
    <w:p w14:paraId="040B530D" w14:textId="77777777" w:rsidR="00722395" w:rsidRDefault="00722395" w:rsidP="0018746B">
      <w:pPr>
        <w:rPr>
          <w:sz w:val="32"/>
          <w:szCs w:val="28"/>
        </w:rPr>
      </w:pPr>
      <w:r>
        <w:rPr>
          <w:sz w:val="32"/>
          <w:szCs w:val="28"/>
        </w:rPr>
        <w:t>Whilst on feedback from parents, we have just completed the annual school survey for the second year in a row. We had a pleasing number of responses from parents for the survey, which also sought the views of staff and our year 5/6 students. As a staff, we will be analysing the results of these surveys next week – an early step in identifying where we are ‘at’ and subsequently helping us to plan our improvement priorities for next year and beyond.</w:t>
      </w:r>
    </w:p>
    <w:p w14:paraId="5C2DFF13" w14:textId="6426557E" w:rsidR="00932BB7" w:rsidRDefault="00722395" w:rsidP="0018746B">
      <w:pPr>
        <w:rPr>
          <w:sz w:val="32"/>
          <w:szCs w:val="28"/>
        </w:rPr>
      </w:pPr>
      <w:r>
        <w:rPr>
          <w:sz w:val="32"/>
          <w:szCs w:val="28"/>
        </w:rPr>
        <w:t>Another significant input into our planning for next year and beyond is this week’s School Review. The School Review will be conducted by Aderyn Chatterton, Regional Director, Carolyn Edwards, Principal – Henbury School, as well as Sally Winch, retired Principal</w:t>
      </w:r>
      <w:r w:rsidR="00932BB7">
        <w:rPr>
          <w:sz w:val="32"/>
          <w:szCs w:val="28"/>
        </w:rPr>
        <w:t xml:space="preserve"> </w:t>
      </w:r>
      <w:r>
        <w:rPr>
          <w:sz w:val="32"/>
          <w:szCs w:val="28"/>
        </w:rPr>
        <w:t>– Manunda Terrace Primary School.</w:t>
      </w:r>
    </w:p>
    <w:p w14:paraId="39B80861" w14:textId="332980CA" w:rsidR="00722395" w:rsidRDefault="00514C2B" w:rsidP="0018746B">
      <w:pPr>
        <w:rPr>
          <w:sz w:val="32"/>
          <w:szCs w:val="28"/>
        </w:rPr>
      </w:pPr>
      <w:r>
        <w:rPr>
          <w:sz w:val="32"/>
          <w:szCs w:val="28"/>
        </w:rPr>
        <w:t>On planning for 2017, we have started some initial staffing planning for next year, by way of making some projections about enrolment numbers for each year level and doing some initial modelling of potential class structures. A plan has been made that details the many ‘steps along the way’ that we will work through as part of this staffing planning process, with the most significant milestone being our receipt of our preliminary budget [likely to be early next term].</w:t>
      </w:r>
    </w:p>
    <w:tbl>
      <w:tblPr>
        <w:tblW w:w="0" w:type="auto"/>
        <w:tblCellMar>
          <w:left w:w="0" w:type="dxa"/>
          <w:right w:w="0" w:type="dxa"/>
        </w:tblCellMar>
        <w:tblLook w:val="04A0" w:firstRow="1" w:lastRow="0" w:firstColumn="1" w:lastColumn="0" w:noHBand="0" w:noVBand="1"/>
      </w:tblPr>
      <w:tblGrid>
        <w:gridCol w:w="1128"/>
        <w:gridCol w:w="1418"/>
        <w:gridCol w:w="10178"/>
      </w:tblGrid>
      <w:tr w:rsidR="00264761" w14:paraId="6076B443" w14:textId="77777777" w:rsidTr="00D42F78">
        <w:tc>
          <w:tcPr>
            <w:tcW w:w="11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0ACE69" w14:textId="77777777" w:rsidR="00264761" w:rsidRPr="00D42F78" w:rsidRDefault="00264761">
            <w:pPr>
              <w:rPr>
                <w:sz w:val="28"/>
                <w:szCs w:val="22"/>
              </w:rPr>
            </w:pPr>
            <w:r w:rsidRPr="00D42F78">
              <w:rPr>
                <w:sz w:val="28"/>
              </w:rPr>
              <w:t>Term 3</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9D8709" w14:textId="77777777" w:rsidR="00264761" w:rsidRPr="00D42F78" w:rsidRDefault="00264761">
            <w:pPr>
              <w:rPr>
                <w:sz w:val="28"/>
              </w:rPr>
            </w:pPr>
            <w:r w:rsidRPr="00D42F78">
              <w:rPr>
                <w:sz w:val="28"/>
              </w:rPr>
              <w:t>Week 8</w:t>
            </w:r>
          </w:p>
        </w:tc>
        <w:tc>
          <w:tcPr>
            <w:tcW w:w="101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22588" w14:textId="77777777" w:rsidR="00264761" w:rsidRPr="00D42F78" w:rsidRDefault="00264761">
            <w:pPr>
              <w:rPr>
                <w:sz w:val="28"/>
              </w:rPr>
            </w:pPr>
            <w:r w:rsidRPr="00D42F78">
              <w:rPr>
                <w:sz w:val="28"/>
              </w:rPr>
              <w:t>Identify predicted enrolments for 2017.</w:t>
            </w:r>
          </w:p>
        </w:tc>
      </w:tr>
      <w:tr w:rsidR="00264761" w14:paraId="7BB6EC04" w14:textId="77777777" w:rsidTr="00D42F78">
        <w:tc>
          <w:tcPr>
            <w:tcW w:w="0" w:type="auto"/>
            <w:vMerge/>
            <w:tcBorders>
              <w:top w:val="single" w:sz="8" w:space="0" w:color="auto"/>
              <w:left w:val="single" w:sz="8" w:space="0" w:color="auto"/>
              <w:bottom w:val="single" w:sz="8" w:space="0" w:color="auto"/>
              <w:right w:val="single" w:sz="8" w:space="0" w:color="auto"/>
            </w:tcBorders>
            <w:vAlign w:val="center"/>
            <w:hideMark/>
          </w:tcPr>
          <w:p w14:paraId="44EE50DF"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5A14F63" w14:textId="77777777" w:rsidR="00264761" w:rsidRPr="00D42F78" w:rsidRDefault="00264761">
            <w:pPr>
              <w:rPr>
                <w:sz w:val="28"/>
              </w:rPr>
            </w:pPr>
            <w:r w:rsidRPr="00D42F78">
              <w:rPr>
                <w:sz w:val="28"/>
              </w:rPr>
              <w:t>Week 8</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186F2A50" w14:textId="77777777" w:rsidR="00264761" w:rsidRPr="00D42F78" w:rsidRDefault="00264761">
            <w:pPr>
              <w:rPr>
                <w:sz w:val="28"/>
              </w:rPr>
            </w:pPr>
            <w:r w:rsidRPr="00D42F78">
              <w:rPr>
                <w:sz w:val="28"/>
              </w:rPr>
              <w:t>Discuss potential class structures for 2017.</w:t>
            </w:r>
          </w:p>
        </w:tc>
      </w:tr>
      <w:tr w:rsidR="00264761" w14:paraId="70231026" w14:textId="77777777" w:rsidTr="00D42F78">
        <w:tc>
          <w:tcPr>
            <w:tcW w:w="0" w:type="auto"/>
            <w:vMerge/>
            <w:tcBorders>
              <w:top w:val="single" w:sz="8" w:space="0" w:color="auto"/>
              <w:left w:val="single" w:sz="8" w:space="0" w:color="auto"/>
              <w:bottom w:val="single" w:sz="8" w:space="0" w:color="auto"/>
              <w:right w:val="single" w:sz="8" w:space="0" w:color="auto"/>
            </w:tcBorders>
            <w:vAlign w:val="center"/>
            <w:hideMark/>
          </w:tcPr>
          <w:p w14:paraId="3389550F"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690E0D0" w14:textId="77777777" w:rsidR="00264761" w:rsidRPr="00D42F78" w:rsidRDefault="00264761">
            <w:pPr>
              <w:rPr>
                <w:sz w:val="28"/>
              </w:rPr>
            </w:pPr>
            <w:r w:rsidRPr="00D42F78">
              <w:rPr>
                <w:sz w:val="28"/>
              </w:rPr>
              <w:t>Week 10</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6F0D6686" w14:textId="77777777" w:rsidR="00264761" w:rsidRPr="00D42F78" w:rsidRDefault="00264761">
            <w:pPr>
              <w:rPr>
                <w:sz w:val="28"/>
              </w:rPr>
            </w:pPr>
            <w:r w:rsidRPr="00D42F78">
              <w:rPr>
                <w:sz w:val="28"/>
              </w:rPr>
              <w:t>Confirm preferred 2017 class structure model.</w:t>
            </w:r>
          </w:p>
        </w:tc>
      </w:tr>
      <w:tr w:rsidR="00264761" w14:paraId="2C61AB4C" w14:textId="77777777" w:rsidTr="00D42F78">
        <w:tc>
          <w:tcPr>
            <w:tcW w:w="0" w:type="auto"/>
            <w:vMerge/>
            <w:tcBorders>
              <w:top w:val="single" w:sz="8" w:space="0" w:color="auto"/>
              <w:left w:val="single" w:sz="8" w:space="0" w:color="auto"/>
              <w:bottom w:val="single" w:sz="8" w:space="0" w:color="auto"/>
              <w:right w:val="single" w:sz="8" w:space="0" w:color="auto"/>
            </w:tcBorders>
            <w:vAlign w:val="center"/>
            <w:hideMark/>
          </w:tcPr>
          <w:p w14:paraId="0C2F6A2F"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209419A" w14:textId="77777777" w:rsidR="00264761" w:rsidRPr="00D42F78" w:rsidRDefault="00264761">
            <w:pPr>
              <w:rPr>
                <w:sz w:val="28"/>
              </w:rPr>
            </w:pPr>
            <w:r w:rsidRPr="00D42F78">
              <w:rPr>
                <w:sz w:val="28"/>
              </w:rPr>
              <w:t>Week 10</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08267116" w14:textId="77777777" w:rsidR="00264761" w:rsidRPr="00D42F78" w:rsidRDefault="00264761">
            <w:pPr>
              <w:rPr>
                <w:sz w:val="28"/>
              </w:rPr>
            </w:pPr>
            <w:r w:rsidRPr="00D42F78">
              <w:rPr>
                <w:sz w:val="28"/>
              </w:rPr>
              <w:t>Discuss and identify potential 2017 positions.</w:t>
            </w:r>
          </w:p>
          <w:p w14:paraId="45CD1F0D" w14:textId="4F2CAFAA" w:rsidR="00264761" w:rsidRPr="00D42F78" w:rsidRDefault="00264761" w:rsidP="00264761">
            <w:pPr>
              <w:pStyle w:val="ListParagraph"/>
              <w:numPr>
                <w:ilvl w:val="0"/>
                <w:numId w:val="23"/>
              </w:numPr>
              <w:contextualSpacing w:val="0"/>
              <w:rPr>
                <w:sz w:val="28"/>
              </w:rPr>
            </w:pPr>
            <w:r w:rsidRPr="00D42F78">
              <w:rPr>
                <w:sz w:val="28"/>
              </w:rPr>
              <w:t xml:space="preserve">Essential positions, </w:t>
            </w:r>
            <w:r w:rsidR="00D42F78" w:rsidRPr="00D42F78">
              <w:rPr>
                <w:sz w:val="28"/>
              </w:rPr>
              <w:t>e.g.</w:t>
            </w:r>
            <w:r w:rsidRPr="00D42F78">
              <w:rPr>
                <w:sz w:val="28"/>
              </w:rPr>
              <w:t>*:</w:t>
            </w:r>
          </w:p>
          <w:p w14:paraId="692D0931" w14:textId="77777777" w:rsidR="00264761" w:rsidRPr="00D42F78" w:rsidRDefault="00264761" w:rsidP="00264761">
            <w:pPr>
              <w:pStyle w:val="ListParagraph"/>
              <w:numPr>
                <w:ilvl w:val="1"/>
                <w:numId w:val="23"/>
              </w:numPr>
              <w:contextualSpacing w:val="0"/>
              <w:rPr>
                <w:sz w:val="28"/>
              </w:rPr>
            </w:pPr>
            <w:r w:rsidRPr="00D42F78">
              <w:rPr>
                <w:sz w:val="28"/>
              </w:rPr>
              <w:t>Class Teachers</w:t>
            </w:r>
          </w:p>
          <w:p w14:paraId="7FC683F9" w14:textId="77777777" w:rsidR="00264761" w:rsidRPr="00D42F78" w:rsidRDefault="00264761" w:rsidP="00264761">
            <w:pPr>
              <w:pStyle w:val="ListParagraph"/>
              <w:numPr>
                <w:ilvl w:val="1"/>
                <w:numId w:val="23"/>
              </w:numPr>
              <w:contextualSpacing w:val="0"/>
              <w:rPr>
                <w:sz w:val="28"/>
              </w:rPr>
            </w:pPr>
            <w:r w:rsidRPr="00D42F78">
              <w:rPr>
                <w:sz w:val="28"/>
              </w:rPr>
              <w:t>NCT Teacher/s</w:t>
            </w:r>
          </w:p>
          <w:p w14:paraId="7DC1EC3A" w14:textId="77777777" w:rsidR="00264761" w:rsidRPr="00D42F78" w:rsidRDefault="00264761" w:rsidP="00264761">
            <w:pPr>
              <w:pStyle w:val="ListParagraph"/>
              <w:numPr>
                <w:ilvl w:val="1"/>
                <w:numId w:val="23"/>
              </w:numPr>
              <w:contextualSpacing w:val="0"/>
              <w:rPr>
                <w:sz w:val="28"/>
              </w:rPr>
            </w:pPr>
            <w:r w:rsidRPr="00D42F78">
              <w:rPr>
                <w:sz w:val="28"/>
              </w:rPr>
              <w:t>Preschool Assistant</w:t>
            </w:r>
          </w:p>
          <w:p w14:paraId="1390682E" w14:textId="77777777" w:rsidR="00264761" w:rsidRPr="00D42F78" w:rsidRDefault="00264761" w:rsidP="00264761">
            <w:pPr>
              <w:pStyle w:val="ListParagraph"/>
              <w:numPr>
                <w:ilvl w:val="1"/>
                <w:numId w:val="23"/>
              </w:numPr>
              <w:contextualSpacing w:val="0"/>
              <w:rPr>
                <w:sz w:val="28"/>
              </w:rPr>
            </w:pPr>
            <w:r w:rsidRPr="00D42F78">
              <w:rPr>
                <w:sz w:val="28"/>
              </w:rPr>
              <w:t>Administration Manager</w:t>
            </w:r>
          </w:p>
          <w:p w14:paraId="25F970F9" w14:textId="77777777" w:rsidR="00264761" w:rsidRPr="00D42F78" w:rsidRDefault="00264761" w:rsidP="00264761">
            <w:pPr>
              <w:pStyle w:val="ListParagraph"/>
              <w:numPr>
                <w:ilvl w:val="1"/>
                <w:numId w:val="23"/>
              </w:numPr>
              <w:contextualSpacing w:val="0"/>
              <w:rPr>
                <w:sz w:val="28"/>
              </w:rPr>
            </w:pPr>
            <w:r w:rsidRPr="00D42F78">
              <w:rPr>
                <w:sz w:val="28"/>
              </w:rPr>
              <w:t>Front Office / Reception</w:t>
            </w:r>
          </w:p>
          <w:p w14:paraId="6D6FC623" w14:textId="5E980DA2" w:rsidR="00264761" w:rsidRPr="00D42F78" w:rsidRDefault="00264761" w:rsidP="00264761">
            <w:pPr>
              <w:pStyle w:val="ListParagraph"/>
              <w:numPr>
                <w:ilvl w:val="0"/>
                <w:numId w:val="23"/>
              </w:numPr>
              <w:contextualSpacing w:val="0"/>
              <w:rPr>
                <w:sz w:val="28"/>
              </w:rPr>
            </w:pPr>
            <w:r w:rsidRPr="00D42F78">
              <w:rPr>
                <w:sz w:val="28"/>
              </w:rPr>
              <w:t xml:space="preserve">‘Nice to Have’ positions, </w:t>
            </w:r>
            <w:r w:rsidR="00D42F78" w:rsidRPr="00D42F78">
              <w:rPr>
                <w:sz w:val="28"/>
              </w:rPr>
              <w:t>e.g.</w:t>
            </w:r>
            <w:r w:rsidRPr="00D42F78">
              <w:rPr>
                <w:sz w:val="28"/>
              </w:rPr>
              <w:t>*:</w:t>
            </w:r>
          </w:p>
          <w:p w14:paraId="74112A11" w14:textId="77777777" w:rsidR="00264761" w:rsidRPr="00D42F78" w:rsidRDefault="00264761" w:rsidP="00264761">
            <w:pPr>
              <w:pStyle w:val="ListParagraph"/>
              <w:numPr>
                <w:ilvl w:val="1"/>
                <w:numId w:val="23"/>
              </w:numPr>
              <w:contextualSpacing w:val="0"/>
              <w:rPr>
                <w:sz w:val="28"/>
              </w:rPr>
            </w:pPr>
            <w:r w:rsidRPr="00D42F78">
              <w:rPr>
                <w:sz w:val="28"/>
              </w:rPr>
              <w:t>AP</w:t>
            </w:r>
          </w:p>
          <w:p w14:paraId="5187CA08" w14:textId="77777777" w:rsidR="00264761" w:rsidRPr="00D42F78" w:rsidRDefault="00264761" w:rsidP="00264761">
            <w:pPr>
              <w:pStyle w:val="ListParagraph"/>
              <w:numPr>
                <w:ilvl w:val="1"/>
                <w:numId w:val="23"/>
              </w:numPr>
              <w:contextualSpacing w:val="0"/>
              <w:rPr>
                <w:sz w:val="28"/>
              </w:rPr>
            </w:pPr>
            <w:r w:rsidRPr="00D42F78">
              <w:rPr>
                <w:sz w:val="28"/>
              </w:rPr>
              <w:t>Senior Teacher/s</w:t>
            </w:r>
          </w:p>
          <w:p w14:paraId="615E787C" w14:textId="77777777" w:rsidR="00264761" w:rsidRPr="00D42F78" w:rsidRDefault="00264761" w:rsidP="00264761">
            <w:pPr>
              <w:pStyle w:val="ListParagraph"/>
              <w:numPr>
                <w:ilvl w:val="1"/>
                <w:numId w:val="23"/>
              </w:numPr>
              <w:contextualSpacing w:val="0"/>
              <w:rPr>
                <w:sz w:val="28"/>
              </w:rPr>
            </w:pPr>
            <w:r w:rsidRPr="00D42F78">
              <w:rPr>
                <w:sz w:val="28"/>
              </w:rPr>
              <w:t>Special Ed Teacher</w:t>
            </w:r>
          </w:p>
          <w:p w14:paraId="00411640" w14:textId="77777777" w:rsidR="00264761" w:rsidRPr="00D42F78" w:rsidRDefault="00264761" w:rsidP="00264761">
            <w:pPr>
              <w:pStyle w:val="ListParagraph"/>
              <w:numPr>
                <w:ilvl w:val="1"/>
                <w:numId w:val="23"/>
              </w:numPr>
              <w:contextualSpacing w:val="0"/>
              <w:rPr>
                <w:sz w:val="28"/>
              </w:rPr>
            </w:pPr>
            <w:r w:rsidRPr="00D42F78">
              <w:rPr>
                <w:sz w:val="28"/>
              </w:rPr>
              <w:t>EAL/D</w:t>
            </w:r>
          </w:p>
          <w:p w14:paraId="5BFF49A0" w14:textId="77777777" w:rsidR="00264761" w:rsidRPr="00D42F78" w:rsidRDefault="00264761" w:rsidP="00264761">
            <w:pPr>
              <w:pStyle w:val="ListParagraph"/>
              <w:numPr>
                <w:ilvl w:val="1"/>
                <w:numId w:val="23"/>
              </w:numPr>
              <w:contextualSpacing w:val="0"/>
              <w:rPr>
                <w:sz w:val="28"/>
              </w:rPr>
            </w:pPr>
            <w:r w:rsidRPr="00D42F78">
              <w:rPr>
                <w:sz w:val="28"/>
              </w:rPr>
              <w:t>Coaches, off-class</w:t>
            </w:r>
          </w:p>
          <w:p w14:paraId="6BB857B0" w14:textId="77777777" w:rsidR="00264761" w:rsidRPr="00D42F78" w:rsidRDefault="00264761" w:rsidP="00264761">
            <w:pPr>
              <w:pStyle w:val="ListParagraph"/>
              <w:numPr>
                <w:ilvl w:val="1"/>
                <w:numId w:val="23"/>
              </w:numPr>
              <w:contextualSpacing w:val="0"/>
              <w:rPr>
                <w:sz w:val="28"/>
              </w:rPr>
            </w:pPr>
            <w:r w:rsidRPr="00D42F78">
              <w:rPr>
                <w:sz w:val="28"/>
              </w:rPr>
              <w:t>Data</w:t>
            </w:r>
          </w:p>
          <w:p w14:paraId="1A08FDFD" w14:textId="1E507CCD" w:rsidR="00264761" w:rsidRPr="00D42F78" w:rsidRDefault="00264761" w:rsidP="00264761">
            <w:pPr>
              <w:pStyle w:val="ListParagraph"/>
              <w:numPr>
                <w:ilvl w:val="1"/>
                <w:numId w:val="23"/>
              </w:numPr>
              <w:contextualSpacing w:val="0"/>
              <w:rPr>
                <w:sz w:val="28"/>
              </w:rPr>
            </w:pPr>
            <w:r w:rsidRPr="00D42F78">
              <w:rPr>
                <w:sz w:val="28"/>
              </w:rPr>
              <w:t>Specialist subject teachers [</w:t>
            </w:r>
            <w:r w:rsidR="00D42F78" w:rsidRPr="00D42F78">
              <w:rPr>
                <w:sz w:val="28"/>
              </w:rPr>
              <w:t>e.g.</w:t>
            </w:r>
            <w:r w:rsidRPr="00D42F78">
              <w:rPr>
                <w:sz w:val="28"/>
              </w:rPr>
              <w:t xml:space="preserve"> Library, PE, Art, </w:t>
            </w:r>
            <w:r w:rsidR="00D42F78" w:rsidRPr="00D42F78">
              <w:rPr>
                <w:sz w:val="28"/>
              </w:rPr>
              <w:t>etc.</w:t>
            </w:r>
            <w:bookmarkStart w:id="0" w:name="_GoBack"/>
            <w:bookmarkEnd w:id="0"/>
            <w:r w:rsidRPr="00D42F78">
              <w:rPr>
                <w:sz w:val="28"/>
              </w:rPr>
              <w:t>]</w:t>
            </w:r>
          </w:p>
          <w:p w14:paraId="6604A0E9" w14:textId="77777777" w:rsidR="00264761" w:rsidRPr="00D42F78" w:rsidRDefault="00264761" w:rsidP="00264761">
            <w:pPr>
              <w:pStyle w:val="ListParagraph"/>
              <w:numPr>
                <w:ilvl w:val="1"/>
                <w:numId w:val="23"/>
              </w:numPr>
              <w:contextualSpacing w:val="0"/>
              <w:rPr>
                <w:sz w:val="28"/>
              </w:rPr>
            </w:pPr>
            <w:r w:rsidRPr="00D42F78">
              <w:rPr>
                <w:sz w:val="28"/>
              </w:rPr>
              <w:t>Attendance, Community Engagement, etc.</w:t>
            </w:r>
          </w:p>
          <w:p w14:paraId="5A9DE7DB" w14:textId="77777777" w:rsidR="00264761" w:rsidRPr="00D42F78" w:rsidRDefault="00264761" w:rsidP="00264761">
            <w:pPr>
              <w:pStyle w:val="ListParagraph"/>
              <w:numPr>
                <w:ilvl w:val="1"/>
                <w:numId w:val="23"/>
              </w:numPr>
              <w:contextualSpacing w:val="0"/>
              <w:rPr>
                <w:sz w:val="28"/>
              </w:rPr>
            </w:pPr>
            <w:r w:rsidRPr="00D42F78">
              <w:rPr>
                <w:sz w:val="28"/>
              </w:rPr>
              <w:t>Behaviour / Wellbeing</w:t>
            </w:r>
          </w:p>
          <w:p w14:paraId="76D494E5" w14:textId="77777777" w:rsidR="00264761" w:rsidRPr="00D42F78" w:rsidRDefault="00264761" w:rsidP="00264761">
            <w:pPr>
              <w:pStyle w:val="ListParagraph"/>
              <w:numPr>
                <w:ilvl w:val="1"/>
                <w:numId w:val="23"/>
              </w:numPr>
              <w:contextualSpacing w:val="0"/>
              <w:rPr>
                <w:sz w:val="28"/>
              </w:rPr>
            </w:pPr>
            <w:r w:rsidRPr="00D42F78">
              <w:rPr>
                <w:sz w:val="28"/>
              </w:rPr>
              <w:t>Intervention and Extension</w:t>
            </w:r>
          </w:p>
          <w:p w14:paraId="54611B50" w14:textId="77777777" w:rsidR="00264761" w:rsidRPr="00D42F78" w:rsidRDefault="00264761">
            <w:pPr>
              <w:rPr>
                <w:i/>
                <w:iCs/>
                <w:sz w:val="28"/>
              </w:rPr>
            </w:pPr>
            <w:r w:rsidRPr="00D42F78">
              <w:rPr>
                <w:i/>
                <w:iCs/>
                <w:sz w:val="28"/>
              </w:rPr>
              <w:t>*examples only – not exhaustive and needing discussion.</w:t>
            </w:r>
          </w:p>
        </w:tc>
      </w:tr>
      <w:tr w:rsidR="00264761" w14:paraId="5B6943DB" w14:textId="77777777" w:rsidTr="00D42F78">
        <w:tc>
          <w:tcPr>
            <w:tcW w:w="11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F55747" w14:textId="77777777" w:rsidR="00264761" w:rsidRPr="00D42F78" w:rsidRDefault="00264761">
            <w:pPr>
              <w:rPr>
                <w:sz w:val="28"/>
              </w:rPr>
            </w:pPr>
            <w:r w:rsidRPr="00D42F78">
              <w:rPr>
                <w:sz w:val="28"/>
              </w:rPr>
              <w:t>Term 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4222260" w14:textId="77777777" w:rsidR="00264761" w:rsidRPr="00D42F78" w:rsidRDefault="00264761">
            <w:pPr>
              <w:rPr>
                <w:sz w:val="28"/>
              </w:rPr>
            </w:pPr>
            <w:r w:rsidRPr="00D42F78">
              <w:rPr>
                <w:sz w:val="28"/>
              </w:rPr>
              <w:t>Week 2</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7C8D7FB5" w14:textId="77777777" w:rsidR="00264761" w:rsidRPr="00D42F78" w:rsidRDefault="00264761">
            <w:pPr>
              <w:rPr>
                <w:sz w:val="28"/>
              </w:rPr>
            </w:pPr>
            <w:r w:rsidRPr="00D42F78">
              <w:rPr>
                <w:sz w:val="28"/>
              </w:rPr>
              <w:t>Preliminary Budget, 2017.</w:t>
            </w:r>
          </w:p>
        </w:tc>
      </w:tr>
      <w:tr w:rsidR="00264761" w14:paraId="3F30B417"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705D0132"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B03D6CC" w14:textId="77777777" w:rsidR="00264761" w:rsidRPr="00D42F78" w:rsidRDefault="00264761">
            <w:pPr>
              <w:rPr>
                <w:sz w:val="28"/>
              </w:rPr>
            </w:pPr>
            <w:r w:rsidRPr="00D42F78">
              <w:rPr>
                <w:sz w:val="28"/>
              </w:rPr>
              <w:t>Week 2</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1D541EDD" w14:textId="77777777" w:rsidR="00264761" w:rsidRPr="00D42F78" w:rsidRDefault="00264761">
            <w:pPr>
              <w:rPr>
                <w:sz w:val="28"/>
              </w:rPr>
            </w:pPr>
            <w:r w:rsidRPr="00D42F78">
              <w:rPr>
                <w:sz w:val="28"/>
              </w:rPr>
              <w:t>Discuss potential 2017 staffing models.</w:t>
            </w:r>
          </w:p>
        </w:tc>
      </w:tr>
      <w:tr w:rsidR="00264761" w14:paraId="2E2090D1"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4A79ABD9"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8C28756" w14:textId="77777777" w:rsidR="00264761" w:rsidRPr="00D42F78" w:rsidRDefault="00264761">
            <w:pPr>
              <w:rPr>
                <w:sz w:val="28"/>
              </w:rPr>
            </w:pPr>
            <w:r w:rsidRPr="00D42F78">
              <w:rPr>
                <w:sz w:val="28"/>
              </w:rPr>
              <w:t>Week 3</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19CED07A" w14:textId="77777777" w:rsidR="00264761" w:rsidRPr="00D42F78" w:rsidRDefault="00264761">
            <w:pPr>
              <w:rPr>
                <w:sz w:val="28"/>
              </w:rPr>
            </w:pPr>
            <w:r w:rsidRPr="00D42F78">
              <w:rPr>
                <w:sz w:val="28"/>
              </w:rPr>
              <w:t>Confirm preferred 2017 staffing model.</w:t>
            </w:r>
          </w:p>
        </w:tc>
      </w:tr>
      <w:tr w:rsidR="00264761" w14:paraId="1CBDE1F8"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32607A1E"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39A2B9" w14:textId="77777777" w:rsidR="00264761" w:rsidRPr="00D42F78" w:rsidRDefault="00264761">
            <w:pPr>
              <w:rPr>
                <w:sz w:val="28"/>
              </w:rPr>
            </w:pPr>
            <w:r w:rsidRPr="00D42F78">
              <w:rPr>
                <w:sz w:val="28"/>
              </w:rPr>
              <w:t>Week 3-4</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5024542B" w14:textId="77777777" w:rsidR="00264761" w:rsidRPr="00D42F78" w:rsidRDefault="00264761">
            <w:pPr>
              <w:rPr>
                <w:sz w:val="28"/>
              </w:rPr>
            </w:pPr>
            <w:r w:rsidRPr="00D42F78">
              <w:rPr>
                <w:sz w:val="28"/>
              </w:rPr>
              <w:t>Permanent staff to identify position preferences from preferred 2017 model.</w:t>
            </w:r>
          </w:p>
        </w:tc>
      </w:tr>
      <w:tr w:rsidR="00264761" w14:paraId="14B2F42E"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3B92B399"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600B985" w14:textId="77777777" w:rsidR="00264761" w:rsidRPr="00D42F78" w:rsidRDefault="00264761">
            <w:pPr>
              <w:rPr>
                <w:sz w:val="28"/>
              </w:rPr>
            </w:pPr>
            <w:r w:rsidRPr="00D42F78">
              <w:rPr>
                <w:sz w:val="28"/>
              </w:rPr>
              <w:t>Week 5</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64D9DAFC" w14:textId="77777777" w:rsidR="00264761" w:rsidRPr="00D42F78" w:rsidRDefault="00264761">
            <w:pPr>
              <w:rPr>
                <w:sz w:val="28"/>
              </w:rPr>
            </w:pPr>
            <w:r w:rsidRPr="00D42F78">
              <w:rPr>
                <w:sz w:val="28"/>
              </w:rPr>
              <w:t>Confirm 2017 positions for permanent staff.</w:t>
            </w:r>
          </w:p>
        </w:tc>
      </w:tr>
      <w:tr w:rsidR="00264761" w14:paraId="141D85B4"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304E3B24"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43F90EC" w14:textId="77777777" w:rsidR="00264761" w:rsidRPr="00D42F78" w:rsidRDefault="00264761">
            <w:pPr>
              <w:rPr>
                <w:sz w:val="28"/>
              </w:rPr>
            </w:pPr>
            <w:r w:rsidRPr="00D42F78">
              <w:rPr>
                <w:sz w:val="28"/>
              </w:rPr>
              <w:t>Week 5</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55A77417" w14:textId="77777777" w:rsidR="00264761" w:rsidRPr="00D42F78" w:rsidRDefault="00264761">
            <w:pPr>
              <w:rPr>
                <w:sz w:val="28"/>
              </w:rPr>
            </w:pPr>
            <w:r w:rsidRPr="00D42F78">
              <w:rPr>
                <w:sz w:val="28"/>
              </w:rPr>
              <w:t>Identify any 2017 positions remaining as ‘vacant’ from the preferred model.</w:t>
            </w:r>
          </w:p>
        </w:tc>
      </w:tr>
      <w:tr w:rsidR="00264761" w14:paraId="2212786C" w14:textId="77777777" w:rsidTr="00D42F78">
        <w:tc>
          <w:tcPr>
            <w:tcW w:w="0" w:type="auto"/>
            <w:vMerge/>
            <w:tcBorders>
              <w:top w:val="nil"/>
              <w:left w:val="single" w:sz="8" w:space="0" w:color="auto"/>
              <w:bottom w:val="single" w:sz="8" w:space="0" w:color="auto"/>
              <w:right w:val="single" w:sz="8" w:space="0" w:color="auto"/>
            </w:tcBorders>
            <w:vAlign w:val="center"/>
            <w:hideMark/>
          </w:tcPr>
          <w:p w14:paraId="4B9EFAB8" w14:textId="77777777" w:rsidR="00264761" w:rsidRPr="00D42F78" w:rsidRDefault="00264761">
            <w:pPr>
              <w:rPr>
                <w:rFonts w:ascii="Calibri" w:eastAsiaTheme="minorHAnsi" w:hAnsi="Calibri"/>
                <w:sz w:val="28"/>
                <w:szCs w:val="22"/>
                <w:lang w:eastAsia="en-US"/>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0544C1" w14:textId="77777777" w:rsidR="00264761" w:rsidRPr="00D42F78" w:rsidRDefault="00264761">
            <w:pPr>
              <w:rPr>
                <w:sz w:val="28"/>
              </w:rPr>
            </w:pPr>
            <w:r w:rsidRPr="00D42F78">
              <w:rPr>
                <w:sz w:val="28"/>
              </w:rPr>
              <w:t>Week 6</w:t>
            </w:r>
          </w:p>
        </w:tc>
        <w:tc>
          <w:tcPr>
            <w:tcW w:w="10178" w:type="dxa"/>
            <w:tcBorders>
              <w:top w:val="nil"/>
              <w:left w:val="nil"/>
              <w:bottom w:val="single" w:sz="8" w:space="0" w:color="auto"/>
              <w:right w:val="single" w:sz="8" w:space="0" w:color="auto"/>
            </w:tcBorders>
            <w:tcMar>
              <w:top w:w="0" w:type="dxa"/>
              <w:left w:w="108" w:type="dxa"/>
              <w:bottom w:w="0" w:type="dxa"/>
              <w:right w:w="108" w:type="dxa"/>
            </w:tcMar>
            <w:hideMark/>
          </w:tcPr>
          <w:p w14:paraId="3E2B66C5" w14:textId="77777777" w:rsidR="00264761" w:rsidRPr="00D42F78" w:rsidRDefault="00264761">
            <w:pPr>
              <w:rPr>
                <w:sz w:val="28"/>
              </w:rPr>
            </w:pPr>
            <w:r w:rsidRPr="00D42F78">
              <w:rPr>
                <w:sz w:val="28"/>
              </w:rPr>
              <w:t>Advertise vacancies and / or extend FC staff, depending upon suitability for the position.</w:t>
            </w:r>
          </w:p>
        </w:tc>
      </w:tr>
    </w:tbl>
    <w:p w14:paraId="164A158D" w14:textId="600439FE" w:rsidR="00514C2B" w:rsidRDefault="00D42F78" w:rsidP="0018746B">
      <w:pPr>
        <w:rPr>
          <w:i/>
          <w:sz w:val="32"/>
          <w:szCs w:val="28"/>
        </w:rPr>
      </w:pPr>
      <w:r w:rsidRPr="00D42F78">
        <w:rPr>
          <w:i/>
          <w:sz w:val="32"/>
          <w:szCs w:val="28"/>
        </w:rPr>
        <w:t>A timeline to keep us on track with staffing planning for 2017.</w:t>
      </w:r>
    </w:p>
    <w:p w14:paraId="1D319D9E" w14:textId="77777777" w:rsidR="00D42F78" w:rsidRDefault="00D42F78" w:rsidP="0018746B">
      <w:pPr>
        <w:rPr>
          <w:i/>
          <w:sz w:val="32"/>
          <w:szCs w:val="28"/>
        </w:rPr>
      </w:pPr>
    </w:p>
    <w:p w14:paraId="13786FCC" w14:textId="77777777" w:rsidR="00D42F78" w:rsidRPr="00D42F78" w:rsidRDefault="00D42F78" w:rsidP="0018746B">
      <w:pPr>
        <w:rPr>
          <w:i/>
          <w:sz w:val="32"/>
          <w:szCs w:val="28"/>
        </w:rPr>
      </w:pPr>
    </w:p>
    <w:p w14:paraId="5A3E928F" w14:textId="41390AC9" w:rsidR="00514C2B" w:rsidRDefault="00514C2B" w:rsidP="0018746B">
      <w:pPr>
        <w:rPr>
          <w:sz w:val="32"/>
          <w:szCs w:val="28"/>
        </w:rPr>
      </w:pPr>
      <w:r>
        <w:rPr>
          <w:sz w:val="32"/>
          <w:szCs w:val="28"/>
        </w:rPr>
        <w:t xml:space="preserve">Finally, we received our NAPLAN results earlier in the term and participating students have received their individual reports. I would like to unpack our results in a little more detail at our October School Council meeting, following a session with staff on this early in term four. </w:t>
      </w:r>
    </w:p>
    <w:p w14:paraId="7C959929" w14:textId="77777777" w:rsidR="0043123A" w:rsidRDefault="0043123A" w:rsidP="0018746B">
      <w:pPr>
        <w:rPr>
          <w:sz w:val="32"/>
          <w:szCs w:val="28"/>
        </w:rPr>
      </w:pPr>
    </w:p>
    <w:p w14:paraId="4B5CD29C" w14:textId="77777777" w:rsidR="0018746B" w:rsidRDefault="0018746B" w:rsidP="0018746B">
      <w:pPr>
        <w:rPr>
          <w:sz w:val="32"/>
          <w:szCs w:val="28"/>
        </w:rPr>
      </w:pPr>
      <w:r w:rsidRPr="0043123A">
        <w:rPr>
          <w:sz w:val="32"/>
          <w:szCs w:val="28"/>
        </w:rPr>
        <w:t>Regards,</w:t>
      </w:r>
    </w:p>
    <w:p w14:paraId="39B65CEB" w14:textId="5B12A016" w:rsidR="0018746B" w:rsidRPr="0043123A" w:rsidRDefault="0018746B" w:rsidP="0018746B">
      <w:pPr>
        <w:rPr>
          <w:sz w:val="32"/>
          <w:szCs w:val="28"/>
        </w:rPr>
      </w:pPr>
      <w:r w:rsidRPr="0043123A">
        <w:rPr>
          <w:noProof/>
          <w:sz w:val="32"/>
          <w:szCs w:val="28"/>
        </w:rPr>
        <w:drawing>
          <wp:inline distT="0" distB="0" distL="0" distR="0" wp14:anchorId="2BF342BE" wp14:editId="78F64CEB">
            <wp:extent cx="972000" cy="4356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435600"/>
                    </a:xfrm>
                    <a:prstGeom prst="rect">
                      <a:avLst/>
                    </a:prstGeom>
                    <a:noFill/>
                  </pic:spPr>
                </pic:pic>
              </a:graphicData>
            </a:graphic>
          </wp:inline>
        </w:drawing>
      </w:r>
    </w:p>
    <w:p w14:paraId="241765FC" w14:textId="77777777" w:rsidR="001147F6" w:rsidRPr="0043123A" w:rsidRDefault="0018746B" w:rsidP="0018746B">
      <w:pPr>
        <w:rPr>
          <w:sz w:val="32"/>
          <w:szCs w:val="28"/>
        </w:rPr>
      </w:pPr>
      <w:r w:rsidRPr="0043123A">
        <w:rPr>
          <w:sz w:val="32"/>
          <w:szCs w:val="28"/>
        </w:rPr>
        <w:t>Warwick Peter-Budge</w:t>
      </w:r>
    </w:p>
    <w:sectPr w:rsidR="001147F6" w:rsidRPr="0043123A" w:rsidSect="00D42F78">
      <w:footerReference w:type="default" r:id="rId10"/>
      <w:pgSz w:w="16838" w:h="11906" w:orient="landscape"/>
      <w:pgMar w:top="454" w:right="624" w:bottom="45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901FA" w14:textId="77777777" w:rsidR="009A583E" w:rsidRDefault="009A583E">
      <w:r>
        <w:separator/>
      </w:r>
    </w:p>
  </w:endnote>
  <w:endnote w:type="continuationSeparator" w:id="0">
    <w:p w14:paraId="0ACDFA23" w14:textId="77777777" w:rsidR="009A583E" w:rsidRDefault="009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uneBug">
    <w:altName w:val="Courier New"/>
    <w:charset w:val="00"/>
    <w:family w:val="auto"/>
    <w:pitch w:val="variable"/>
    <w:sig w:usb0="00000003" w:usb1="00000000" w:usb2="00000000" w:usb3="00000000" w:csb0="00000001" w:csb1="00000000"/>
  </w:font>
  <w:font w:name="Albany">
    <w:altName w:val="Arial"/>
    <w:charset w:val="00"/>
    <w:family w:val="swiss"/>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23DA" w14:textId="77777777" w:rsidR="00AC16E9" w:rsidRDefault="00AC16E9" w:rsidP="00A051A8">
    <w:pPr>
      <w:pStyle w:val="Footer"/>
      <w:tabs>
        <w:tab w:val="clear" w:pos="4153"/>
        <w:tab w:val="clear" w:pos="8306"/>
      </w:tabs>
      <w:rPr>
        <w:rFonts w:ascii="Albany" w:hAnsi="Albany"/>
        <w:sz w:val="16"/>
        <w:szCs w:val="16"/>
      </w:rPr>
    </w:pPr>
  </w:p>
  <w:p w14:paraId="20345EE1" w14:textId="77777777" w:rsidR="00AC16E9" w:rsidRPr="00A051A8" w:rsidRDefault="00AC16E9" w:rsidP="00A051A8">
    <w:pPr>
      <w:pStyle w:val="Footer"/>
      <w:tabs>
        <w:tab w:val="clear" w:pos="4153"/>
        <w:tab w:val="clear" w:pos="8306"/>
      </w:tabs>
      <w:rPr>
        <w:rFonts w:ascii="Albany" w:hAnsi="Albany"/>
        <w:sz w:val="16"/>
        <w:szCs w:val="16"/>
      </w:rPr>
    </w:pPr>
    <w:r w:rsidRPr="00A051A8">
      <w:rPr>
        <w:rFonts w:ascii="Albany" w:hAnsi="Albany"/>
        <w:sz w:val="16"/>
        <w:szCs w:val="16"/>
      </w:rPr>
      <w:t>Tel:  (08) 89481163</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Em</w:t>
    </w:r>
    <w:r>
      <w:rPr>
        <w:rFonts w:ascii="Albany" w:hAnsi="Albany"/>
        <w:sz w:val="16"/>
        <w:szCs w:val="16"/>
      </w:rPr>
      <w:t>ail: admin.millnerps@ntschools.net</w:t>
    </w:r>
  </w:p>
  <w:p w14:paraId="14289ACF" w14:textId="77777777" w:rsidR="00AC16E9" w:rsidRPr="00A051A8" w:rsidRDefault="00AC16E9" w:rsidP="00A051A8">
    <w:pPr>
      <w:pStyle w:val="Footer"/>
      <w:tabs>
        <w:tab w:val="clear" w:pos="4153"/>
        <w:tab w:val="clear" w:pos="8306"/>
      </w:tabs>
      <w:rPr>
        <w:rFonts w:ascii="Albany" w:hAnsi="Albany"/>
        <w:sz w:val="16"/>
        <w:szCs w:val="16"/>
      </w:rPr>
    </w:pPr>
    <w:r>
      <w:rPr>
        <w:rFonts w:ascii="Albany" w:hAnsi="Albany"/>
        <w:noProof/>
        <w:sz w:val="16"/>
        <w:szCs w:val="16"/>
      </w:rPr>
      <w:drawing>
        <wp:anchor distT="0" distB="0" distL="114300" distR="114300" simplePos="0" relativeHeight="251658240" behindDoc="1" locked="0" layoutInCell="1" allowOverlap="1" wp14:anchorId="56E823B4" wp14:editId="22AE8CB4">
          <wp:simplePos x="0" y="0"/>
          <wp:positionH relativeFrom="column">
            <wp:posOffset>2514600</wp:posOffset>
          </wp:positionH>
          <wp:positionV relativeFrom="paragraph">
            <wp:posOffset>-146685</wp:posOffset>
          </wp:positionV>
          <wp:extent cx="692150" cy="622300"/>
          <wp:effectExtent l="0" t="0" r="0" b="6350"/>
          <wp:wrapTight wrapText="bothSides">
            <wp:wrapPolygon edited="0">
              <wp:start x="7728" y="0"/>
              <wp:lineTo x="6539" y="1322"/>
              <wp:lineTo x="1189" y="10580"/>
              <wp:lineTo x="0" y="18514"/>
              <wp:lineTo x="0" y="21159"/>
              <wp:lineTo x="17835" y="21159"/>
              <wp:lineTo x="20807" y="21159"/>
              <wp:lineTo x="20807" y="10580"/>
              <wp:lineTo x="11890" y="10580"/>
              <wp:lineTo x="14862" y="7273"/>
              <wp:lineTo x="14862" y="3306"/>
              <wp:lineTo x="12484" y="0"/>
              <wp:lineTo x="7728" y="0"/>
            </wp:wrapPolygon>
          </wp:wrapTight>
          <wp:docPr id="23" name="Picture 23" descr="NTG Logo Vert 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Vert blac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1A8">
      <w:rPr>
        <w:rFonts w:ascii="Albany" w:hAnsi="Albany"/>
        <w:sz w:val="16"/>
        <w:szCs w:val="16"/>
      </w:rPr>
      <w:t>Fax:  (08) 89480751</w:t>
    </w:r>
    <w:r w:rsidRPr="00A051A8">
      <w:rPr>
        <w:rFonts w:ascii="Albany" w:hAnsi="Albany"/>
        <w:sz w:val="16"/>
        <w:szCs w:val="16"/>
      </w:rPr>
      <w:tab/>
    </w:r>
    <w:r w:rsidRPr="00A051A8">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r>
    <w:r>
      <w:rPr>
        <w:rFonts w:ascii="Albany" w:hAnsi="Albany"/>
        <w:sz w:val="16"/>
        <w:szCs w:val="16"/>
      </w:rPr>
      <w:tab/>
      <w:t xml:space="preserve">          </w:t>
    </w:r>
    <w:r w:rsidRPr="00A051A8">
      <w:rPr>
        <w:rFonts w:ascii="Albany" w:hAnsi="Albany"/>
        <w:sz w:val="16"/>
        <w:szCs w:val="16"/>
      </w:rPr>
      <w:t>ABN: 55159 160 450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5D83B" w14:textId="77777777" w:rsidR="009A583E" w:rsidRDefault="009A583E">
      <w:r>
        <w:separator/>
      </w:r>
    </w:p>
  </w:footnote>
  <w:footnote w:type="continuationSeparator" w:id="0">
    <w:p w14:paraId="64B923BC" w14:textId="77777777" w:rsidR="009A583E" w:rsidRDefault="009A58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976"/>
    <w:multiLevelType w:val="hybridMultilevel"/>
    <w:tmpl w:val="FB28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022CA"/>
    <w:multiLevelType w:val="hybridMultilevel"/>
    <w:tmpl w:val="B8BCB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3F42B0"/>
    <w:multiLevelType w:val="hybridMultilevel"/>
    <w:tmpl w:val="1CFC6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503F8"/>
    <w:multiLevelType w:val="hybridMultilevel"/>
    <w:tmpl w:val="CF522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5D48DA"/>
    <w:multiLevelType w:val="hybridMultilevel"/>
    <w:tmpl w:val="226614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B952DE1"/>
    <w:multiLevelType w:val="hybridMultilevel"/>
    <w:tmpl w:val="9AFC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F3ADE"/>
    <w:multiLevelType w:val="hybridMultilevel"/>
    <w:tmpl w:val="259AF36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5717DA2"/>
    <w:multiLevelType w:val="hybridMultilevel"/>
    <w:tmpl w:val="EDCA26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3A9D475F"/>
    <w:multiLevelType w:val="hybridMultilevel"/>
    <w:tmpl w:val="84B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A6E54"/>
    <w:multiLevelType w:val="hybridMultilevel"/>
    <w:tmpl w:val="ABD804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75001"/>
    <w:multiLevelType w:val="hybridMultilevel"/>
    <w:tmpl w:val="3E3E6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6613952"/>
    <w:multiLevelType w:val="hybridMultilevel"/>
    <w:tmpl w:val="76B4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229A4"/>
    <w:multiLevelType w:val="hybridMultilevel"/>
    <w:tmpl w:val="5FE8B78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B12850"/>
    <w:multiLevelType w:val="hybridMultilevel"/>
    <w:tmpl w:val="59BCFE12"/>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CDB26FC"/>
    <w:multiLevelType w:val="hybridMultilevel"/>
    <w:tmpl w:val="9E46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8465DF"/>
    <w:multiLevelType w:val="hybridMultilevel"/>
    <w:tmpl w:val="1AD0F75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51D518D9"/>
    <w:multiLevelType w:val="hybridMultilevel"/>
    <w:tmpl w:val="F5D0F1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360"/>
      </w:p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ABF09C7"/>
    <w:multiLevelType w:val="hybridMultilevel"/>
    <w:tmpl w:val="A6769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040EA"/>
    <w:multiLevelType w:val="hybridMultilevel"/>
    <w:tmpl w:val="08D66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261623"/>
    <w:multiLevelType w:val="hybridMultilevel"/>
    <w:tmpl w:val="FCB2E8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6F444A33"/>
    <w:multiLevelType w:val="hybridMultilevel"/>
    <w:tmpl w:val="81F4E1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C13822"/>
    <w:multiLevelType w:val="hybridMultilevel"/>
    <w:tmpl w:val="3C702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0A2700"/>
    <w:multiLevelType w:val="hybridMultilevel"/>
    <w:tmpl w:val="B180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9"/>
  </w:num>
  <w:num w:numId="5">
    <w:abstractNumId w:val="12"/>
  </w:num>
  <w:num w:numId="6">
    <w:abstractNumId w:val="6"/>
  </w:num>
  <w:num w:numId="7">
    <w:abstractNumId w:val="13"/>
  </w:num>
  <w:num w:numId="8">
    <w:abstractNumId w:val="0"/>
  </w:num>
  <w:num w:numId="9">
    <w:abstractNumId w:val="17"/>
  </w:num>
  <w:num w:numId="10">
    <w:abstractNumId w:val="2"/>
  </w:num>
  <w:num w:numId="11">
    <w:abstractNumId w:val="5"/>
  </w:num>
  <w:num w:numId="12">
    <w:abstractNumId w:val="16"/>
    <w:lvlOverride w:ilvl="0"/>
    <w:lvlOverride w:ilvl="1"/>
    <w:lvlOverride w:ilvl="2">
      <w:startOverride w:val="1"/>
    </w:lvlOverride>
    <w:lvlOverride w:ilvl="3"/>
    <w:lvlOverride w:ilvl="4"/>
    <w:lvlOverride w:ilvl="5"/>
    <w:lvlOverride w:ilvl="6"/>
    <w:lvlOverride w:ilvl="7"/>
    <w:lvlOverride w:ilvl="8"/>
  </w:num>
  <w:num w:numId="13">
    <w:abstractNumId w:val="19"/>
  </w:num>
  <w:num w:numId="14">
    <w:abstractNumId w:val="10"/>
  </w:num>
  <w:num w:numId="15">
    <w:abstractNumId w:val="4"/>
  </w:num>
  <w:num w:numId="16">
    <w:abstractNumId w:val="22"/>
  </w:num>
  <w:num w:numId="17">
    <w:abstractNumId w:val="8"/>
  </w:num>
  <w:num w:numId="18">
    <w:abstractNumId w:val="11"/>
  </w:num>
  <w:num w:numId="19">
    <w:abstractNumId w:val="14"/>
  </w:num>
  <w:num w:numId="20">
    <w:abstractNumId w:val="21"/>
  </w:num>
  <w:num w:numId="21">
    <w:abstractNumId w:val="18"/>
  </w:num>
  <w:num w:numId="22">
    <w:abstractNumId w:val="3"/>
  </w:num>
  <w:num w:numId="2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DA"/>
    <w:rsid w:val="00001F86"/>
    <w:rsid w:val="00004A75"/>
    <w:rsid w:val="00007403"/>
    <w:rsid w:val="0003183D"/>
    <w:rsid w:val="0003656A"/>
    <w:rsid w:val="000506D9"/>
    <w:rsid w:val="00063B1B"/>
    <w:rsid w:val="000A58C4"/>
    <w:rsid w:val="000A64AD"/>
    <w:rsid w:val="000B104F"/>
    <w:rsid w:val="000B69B7"/>
    <w:rsid w:val="000D45A2"/>
    <w:rsid w:val="000F4A75"/>
    <w:rsid w:val="000F7A04"/>
    <w:rsid w:val="000F7C2F"/>
    <w:rsid w:val="00112CB2"/>
    <w:rsid w:val="001147F6"/>
    <w:rsid w:val="00146530"/>
    <w:rsid w:val="00151B3E"/>
    <w:rsid w:val="00155F06"/>
    <w:rsid w:val="00163D1D"/>
    <w:rsid w:val="001664B6"/>
    <w:rsid w:val="0018174A"/>
    <w:rsid w:val="0018746B"/>
    <w:rsid w:val="00187E39"/>
    <w:rsid w:val="001A066A"/>
    <w:rsid w:val="001A46AF"/>
    <w:rsid w:val="001A63AC"/>
    <w:rsid w:val="001C4A95"/>
    <w:rsid w:val="001D1B07"/>
    <w:rsid w:val="001E387D"/>
    <w:rsid w:val="0020254F"/>
    <w:rsid w:val="00215337"/>
    <w:rsid w:val="00220FB4"/>
    <w:rsid w:val="002242F9"/>
    <w:rsid w:val="00232CAB"/>
    <w:rsid w:val="00235E87"/>
    <w:rsid w:val="00243EAB"/>
    <w:rsid w:val="002471E8"/>
    <w:rsid w:val="00264761"/>
    <w:rsid w:val="00271A24"/>
    <w:rsid w:val="00282557"/>
    <w:rsid w:val="00285694"/>
    <w:rsid w:val="00287538"/>
    <w:rsid w:val="00292965"/>
    <w:rsid w:val="00293833"/>
    <w:rsid w:val="00295B69"/>
    <w:rsid w:val="002A5A4B"/>
    <w:rsid w:val="002A7A5B"/>
    <w:rsid w:val="002C64B6"/>
    <w:rsid w:val="002F2AC0"/>
    <w:rsid w:val="00305EC1"/>
    <w:rsid w:val="00311386"/>
    <w:rsid w:val="00330282"/>
    <w:rsid w:val="00330622"/>
    <w:rsid w:val="00337F55"/>
    <w:rsid w:val="00340E01"/>
    <w:rsid w:val="00340E25"/>
    <w:rsid w:val="0035721E"/>
    <w:rsid w:val="003663BD"/>
    <w:rsid w:val="0037617D"/>
    <w:rsid w:val="00394426"/>
    <w:rsid w:val="00395F13"/>
    <w:rsid w:val="003A24C0"/>
    <w:rsid w:val="003B139F"/>
    <w:rsid w:val="003C1C61"/>
    <w:rsid w:val="003D58F9"/>
    <w:rsid w:val="003D61D1"/>
    <w:rsid w:val="003F480B"/>
    <w:rsid w:val="003F5E5B"/>
    <w:rsid w:val="0041042B"/>
    <w:rsid w:val="0042061E"/>
    <w:rsid w:val="004222DA"/>
    <w:rsid w:val="0043123A"/>
    <w:rsid w:val="00440E31"/>
    <w:rsid w:val="0044321E"/>
    <w:rsid w:val="00446ABD"/>
    <w:rsid w:val="00454AB2"/>
    <w:rsid w:val="004705E7"/>
    <w:rsid w:val="0047089C"/>
    <w:rsid w:val="00482346"/>
    <w:rsid w:val="00491E10"/>
    <w:rsid w:val="004A339D"/>
    <w:rsid w:val="004B35CE"/>
    <w:rsid w:val="004C0BC9"/>
    <w:rsid w:val="004C59BF"/>
    <w:rsid w:val="004C77BD"/>
    <w:rsid w:val="004D4964"/>
    <w:rsid w:val="004E2FB2"/>
    <w:rsid w:val="004E420B"/>
    <w:rsid w:val="004E703C"/>
    <w:rsid w:val="00514C2B"/>
    <w:rsid w:val="00522E35"/>
    <w:rsid w:val="0052355E"/>
    <w:rsid w:val="00524C43"/>
    <w:rsid w:val="00525547"/>
    <w:rsid w:val="0052585D"/>
    <w:rsid w:val="005301CB"/>
    <w:rsid w:val="00537AE3"/>
    <w:rsid w:val="00543257"/>
    <w:rsid w:val="0054697A"/>
    <w:rsid w:val="00546D51"/>
    <w:rsid w:val="00552468"/>
    <w:rsid w:val="00581D21"/>
    <w:rsid w:val="005A142F"/>
    <w:rsid w:val="005A39A8"/>
    <w:rsid w:val="005A4754"/>
    <w:rsid w:val="005A6F34"/>
    <w:rsid w:val="005B4422"/>
    <w:rsid w:val="005B6957"/>
    <w:rsid w:val="005B6F11"/>
    <w:rsid w:val="005D1397"/>
    <w:rsid w:val="005E2B60"/>
    <w:rsid w:val="005F0342"/>
    <w:rsid w:val="005F3017"/>
    <w:rsid w:val="006007F5"/>
    <w:rsid w:val="00601139"/>
    <w:rsid w:val="006231DA"/>
    <w:rsid w:val="00630EFD"/>
    <w:rsid w:val="00633894"/>
    <w:rsid w:val="006556E2"/>
    <w:rsid w:val="00665D53"/>
    <w:rsid w:val="00672559"/>
    <w:rsid w:val="00677163"/>
    <w:rsid w:val="00681874"/>
    <w:rsid w:val="0068336D"/>
    <w:rsid w:val="00691E94"/>
    <w:rsid w:val="006A60E3"/>
    <w:rsid w:val="006C46F5"/>
    <w:rsid w:val="006C4F78"/>
    <w:rsid w:val="006C7C63"/>
    <w:rsid w:val="006D06F1"/>
    <w:rsid w:val="006D5DA7"/>
    <w:rsid w:val="006E51CD"/>
    <w:rsid w:val="006E73F2"/>
    <w:rsid w:val="006F0249"/>
    <w:rsid w:val="0070003D"/>
    <w:rsid w:val="00710578"/>
    <w:rsid w:val="00721DA0"/>
    <w:rsid w:val="00722395"/>
    <w:rsid w:val="0072682C"/>
    <w:rsid w:val="0073628B"/>
    <w:rsid w:val="00752440"/>
    <w:rsid w:val="00764E82"/>
    <w:rsid w:val="00765097"/>
    <w:rsid w:val="0077470F"/>
    <w:rsid w:val="0077475B"/>
    <w:rsid w:val="00795F1A"/>
    <w:rsid w:val="007A52C3"/>
    <w:rsid w:val="007A7DEB"/>
    <w:rsid w:val="007B640F"/>
    <w:rsid w:val="007C6DE1"/>
    <w:rsid w:val="007D2A33"/>
    <w:rsid w:val="007D46D9"/>
    <w:rsid w:val="007F7927"/>
    <w:rsid w:val="008045AA"/>
    <w:rsid w:val="008116F2"/>
    <w:rsid w:val="0082694B"/>
    <w:rsid w:val="00826B21"/>
    <w:rsid w:val="00827ECB"/>
    <w:rsid w:val="0083116B"/>
    <w:rsid w:val="00831485"/>
    <w:rsid w:val="0084353C"/>
    <w:rsid w:val="00846874"/>
    <w:rsid w:val="00850250"/>
    <w:rsid w:val="008539D1"/>
    <w:rsid w:val="00881505"/>
    <w:rsid w:val="0088163B"/>
    <w:rsid w:val="0088321E"/>
    <w:rsid w:val="00893475"/>
    <w:rsid w:val="008A522C"/>
    <w:rsid w:val="008B2061"/>
    <w:rsid w:val="008D4178"/>
    <w:rsid w:val="009033BD"/>
    <w:rsid w:val="00905B22"/>
    <w:rsid w:val="00910105"/>
    <w:rsid w:val="009262BD"/>
    <w:rsid w:val="00931C87"/>
    <w:rsid w:val="00932BB7"/>
    <w:rsid w:val="009578B4"/>
    <w:rsid w:val="009742DE"/>
    <w:rsid w:val="0098073A"/>
    <w:rsid w:val="0098272C"/>
    <w:rsid w:val="00987E29"/>
    <w:rsid w:val="009A0757"/>
    <w:rsid w:val="009A583E"/>
    <w:rsid w:val="009B3706"/>
    <w:rsid w:val="00A0473C"/>
    <w:rsid w:val="00A051A8"/>
    <w:rsid w:val="00A15091"/>
    <w:rsid w:val="00A22C60"/>
    <w:rsid w:val="00A30C16"/>
    <w:rsid w:val="00A318AD"/>
    <w:rsid w:val="00A35DFA"/>
    <w:rsid w:val="00A37A67"/>
    <w:rsid w:val="00A37E92"/>
    <w:rsid w:val="00A419EB"/>
    <w:rsid w:val="00A502F3"/>
    <w:rsid w:val="00A509D8"/>
    <w:rsid w:val="00A55E08"/>
    <w:rsid w:val="00A617FB"/>
    <w:rsid w:val="00A61829"/>
    <w:rsid w:val="00A6748B"/>
    <w:rsid w:val="00A723D1"/>
    <w:rsid w:val="00A74ADD"/>
    <w:rsid w:val="00A824F9"/>
    <w:rsid w:val="00AA2099"/>
    <w:rsid w:val="00AC16E9"/>
    <w:rsid w:val="00AC1CA6"/>
    <w:rsid w:val="00AC3443"/>
    <w:rsid w:val="00AC7A7D"/>
    <w:rsid w:val="00AD59A9"/>
    <w:rsid w:val="00AF3135"/>
    <w:rsid w:val="00AF6148"/>
    <w:rsid w:val="00B00096"/>
    <w:rsid w:val="00B04131"/>
    <w:rsid w:val="00B20FFA"/>
    <w:rsid w:val="00B21BE1"/>
    <w:rsid w:val="00B3054A"/>
    <w:rsid w:val="00B314C8"/>
    <w:rsid w:val="00B34D74"/>
    <w:rsid w:val="00B36522"/>
    <w:rsid w:val="00B51295"/>
    <w:rsid w:val="00B572D7"/>
    <w:rsid w:val="00B6413E"/>
    <w:rsid w:val="00B66EF1"/>
    <w:rsid w:val="00B75AF9"/>
    <w:rsid w:val="00B85529"/>
    <w:rsid w:val="00B92B5F"/>
    <w:rsid w:val="00B93193"/>
    <w:rsid w:val="00B942DA"/>
    <w:rsid w:val="00BC44D2"/>
    <w:rsid w:val="00BD006E"/>
    <w:rsid w:val="00BE4C7A"/>
    <w:rsid w:val="00BE5C18"/>
    <w:rsid w:val="00C01053"/>
    <w:rsid w:val="00C03352"/>
    <w:rsid w:val="00C071AF"/>
    <w:rsid w:val="00C166B4"/>
    <w:rsid w:val="00C37684"/>
    <w:rsid w:val="00C41570"/>
    <w:rsid w:val="00C82CE5"/>
    <w:rsid w:val="00CA0C2A"/>
    <w:rsid w:val="00CB2EA4"/>
    <w:rsid w:val="00CB2F44"/>
    <w:rsid w:val="00CE317B"/>
    <w:rsid w:val="00CE63B5"/>
    <w:rsid w:val="00D03A9A"/>
    <w:rsid w:val="00D0619A"/>
    <w:rsid w:val="00D14D6D"/>
    <w:rsid w:val="00D25609"/>
    <w:rsid w:val="00D30CDB"/>
    <w:rsid w:val="00D3389B"/>
    <w:rsid w:val="00D416FD"/>
    <w:rsid w:val="00D42F78"/>
    <w:rsid w:val="00D747D2"/>
    <w:rsid w:val="00D81A54"/>
    <w:rsid w:val="00D8483B"/>
    <w:rsid w:val="00DA281F"/>
    <w:rsid w:val="00DB39FF"/>
    <w:rsid w:val="00DC57E2"/>
    <w:rsid w:val="00DD2089"/>
    <w:rsid w:val="00DF230F"/>
    <w:rsid w:val="00E04F84"/>
    <w:rsid w:val="00E0645B"/>
    <w:rsid w:val="00E373B2"/>
    <w:rsid w:val="00E51CCC"/>
    <w:rsid w:val="00E56620"/>
    <w:rsid w:val="00E60A8F"/>
    <w:rsid w:val="00E66BC5"/>
    <w:rsid w:val="00E75E50"/>
    <w:rsid w:val="00E76974"/>
    <w:rsid w:val="00E92E74"/>
    <w:rsid w:val="00E9423A"/>
    <w:rsid w:val="00E95EBB"/>
    <w:rsid w:val="00EA74B3"/>
    <w:rsid w:val="00EB1F0F"/>
    <w:rsid w:val="00EC0476"/>
    <w:rsid w:val="00ED2F4C"/>
    <w:rsid w:val="00EE15F0"/>
    <w:rsid w:val="00F229D1"/>
    <w:rsid w:val="00F24344"/>
    <w:rsid w:val="00F24594"/>
    <w:rsid w:val="00F26305"/>
    <w:rsid w:val="00F351E6"/>
    <w:rsid w:val="00F40C87"/>
    <w:rsid w:val="00F40FA9"/>
    <w:rsid w:val="00F434D8"/>
    <w:rsid w:val="00F56712"/>
    <w:rsid w:val="00F57073"/>
    <w:rsid w:val="00F623B3"/>
    <w:rsid w:val="00F8280C"/>
    <w:rsid w:val="00F854CD"/>
    <w:rsid w:val="00F9270E"/>
    <w:rsid w:val="00F949C5"/>
    <w:rsid w:val="00F9540C"/>
    <w:rsid w:val="00FA1455"/>
    <w:rsid w:val="00FA7DF6"/>
    <w:rsid w:val="00FC473B"/>
    <w:rsid w:val="00FE6F56"/>
    <w:rsid w:val="00FE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054A96"/>
  <w15:docId w15:val="{6BA3133D-CD8C-4028-BC9F-7F4BC19A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51A8"/>
    <w:pPr>
      <w:tabs>
        <w:tab w:val="center" w:pos="4153"/>
        <w:tab w:val="right" w:pos="8306"/>
      </w:tabs>
    </w:pPr>
  </w:style>
  <w:style w:type="paragraph" w:styleId="Footer">
    <w:name w:val="footer"/>
    <w:basedOn w:val="Normal"/>
    <w:rsid w:val="00A051A8"/>
    <w:pPr>
      <w:tabs>
        <w:tab w:val="center" w:pos="4153"/>
        <w:tab w:val="right" w:pos="8306"/>
      </w:tabs>
    </w:pPr>
  </w:style>
  <w:style w:type="table" w:styleId="TableGrid">
    <w:name w:val="Table Grid"/>
    <w:basedOn w:val="TableNormal"/>
    <w:rsid w:val="00151B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44321E"/>
    <w:rPr>
      <w:b/>
      <w:bCs/>
    </w:rPr>
  </w:style>
  <w:style w:type="character" w:styleId="Hyperlink">
    <w:name w:val="Hyperlink"/>
    <w:rsid w:val="00BE5C18"/>
    <w:rPr>
      <w:color w:val="0000FF"/>
      <w:u w:val="single"/>
    </w:rPr>
  </w:style>
  <w:style w:type="paragraph" w:styleId="Caption">
    <w:name w:val="caption"/>
    <w:basedOn w:val="Normal"/>
    <w:next w:val="Normal"/>
    <w:unhideWhenUsed/>
    <w:qFormat/>
    <w:rsid w:val="00E76974"/>
    <w:pPr>
      <w:spacing w:after="200"/>
    </w:pPr>
    <w:rPr>
      <w:i/>
      <w:iCs/>
      <w:color w:val="44546A" w:themeColor="text2"/>
      <w:sz w:val="18"/>
      <w:szCs w:val="18"/>
    </w:rPr>
  </w:style>
  <w:style w:type="paragraph" w:styleId="BalloonText">
    <w:name w:val="Balloon Text"/>
    <w:basedOn w:val="Normal"/>
    <w:link w:val="BalloonTextChar"/>
    <w:rsid w:val="00AC16E9"/>
    <w:rPr>
      <w:rFonts w:ascii="Tahoma" w:hAnsi="Tahoma" w:cs="Tahoma"/>
      <w:sz w:val="16"/>
      <w:szCs w:val="16"/>
    </w:rPr>
  </w:style>
  <w:style w:type="character" w:customStyle="1" w:styleId="BalloonTextChar">
    <w:name w:val="Balloon Text Char"/>
    <w:basedOn w:val="DefaultParagraphFont"/>
    <w:link w:val="BalloonText"/>
    <w:rsid w:val="00AC16E9"/>
    <w:rPr>
      <w:rFonts w:ascii="Tahoma" w:hAnsi="Tahoma" w:cs="Tahoma"/>
      <w:sz w:val="16"/>
      <w:szCs w:val="16"/>
    </w:rPr>
  </w:style>
  <w:style w:type="paragraph" w:styleId="ListParagraph">
    <w:name w:val="List Paragraph"/>
    <w:basedOn w:val="Normal"/>
    <w:uiPriority w:val="34"/>
    <w:qFormat/>
    <w:rsid w:val="001D1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9508">
      <w:bodyDiv w:val="1"/>
      <w:marLeft w:val="0"/>
      <w:marRight w:val="0"/>
      <w:marTop w:val="0"/>
      <w:marBottom w:val="0"/>
      <w:divBdr>
        <w:top w:val="none" w:sz="0" w:space="0" w:color="auto"/>
        <w:left w:val="none" w:sz="0" w:space="0" w:color="auto"/>
        <w:bottom w:val="none" w:sz="0" w:space="0" w:color="auto"/>
        <w:right w:val="none" w:sz="0" w:space="0" w:color="auto"/>
      </w:divBdr>
    </w:div>
    <w:div w:id="1155219706">
      <w:bodyDiv w:val="1"/>
      <w:marLeft w:val="0"/>
      <w:marRight w:val="0"/>
      <w:marTop w:val="0"/>
      <w:marBottom w:val="0"/>
      <w:divBdr>
        <w:top w:val="none" w:sz="0" w:space="0" w:color="auto"/>
        <w:left w:val="none" w:sz="0" w:space="0" w:color="auto"/>
        <w:bottom w:val="none" w:sz="0" w:space="0" w:color="auto"/>
        <w:right w:val="none" w:sz="0" w:space="0" w:color="auto"/>
      </w:divBdr>
    </w:div>
    <w:div w:id="18469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2437</TotalTime>
  <Pages>4</Pages>
  <Words>1031</Words>
  <Characters>5356</Characters>
  <Application>Microsoft Office Word</Application>
  <DocSecurity>0</DocSecurity>
  <Lines>116</Lines>
  <Paragraphs>75</Paragraphs>
  <ScaleCrop>false</ScaleCrop>
  <HeadingPairs>
    <vt:vector size="2" baseType="variant">
      <vt:variant>
        <vt:lpstr>Title</vt:lpstr>
      </vt:variant>
      <vt:variant>
        <vt:i4>1</vt:i4>
      </vt:variant>
    </vt:vector>
  </HeadingPairs>
  <TitlesOfParts>
    <vt:vector size="1" baseType="lpstr">
      <vt:lpstr/>
    </vt:vector>
  </TitlesOfParts>
  <Company>DEET</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DEET</dc:creator>
  <cp:lastModifiedBy>Warwick Peter-Budge</cp:lastModifiedBy>
  <cp:revision>17</cp:revision>
  <cp:lastPrinted>2016-08-14T04:56:00Z</cp:lastPrinted>
  <dcterms:created xsi:type="dcterms:W3CDTF">2015-10-18T22:14:00Z</dcterms:created>
  <dcterms:modified xsi:type="dcterms:W3CDTF">2016-09-18T06:14:00Z</dcterms:modified>
</cp:coreProperties>
</file>